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0"/>
        <w:gridCol w:w="4899"/>
      </w:tblGrid>
      <w:tr w:rsidR="00EA7899" w:rsidRPr="00A55F21" w:rsidTr="00367693">
        <w:trPr>
          <w:trHeight w:hRule="exact" w:val="1634"/>
        </w:trPr>
        <w:tc>
          <w:tcPr>
            <w:tcW w:w="4403" w:type="dxa"/>
          </w:tcPr>
          <w:p w:rsidR="00EA7899" w:rsidRDefault="00EA7899" w:rsidP="0043054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2C121" wp14:editId="6187E8C0">
                      <wp:simplePos x="0" y="0"/>
                      <wp:positionH relativeFrom="column">
                        <wp:posOffset>-484579</wp:posOffset>
                      </wp:positionH>
                      <wp:positionV relativeFrom="paragraph">
                        <wp:posOffset>-744116</wp:posOffset>
                      </wp:positionV>
                      <wp:extent cx="2374265" cy="403244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03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899" w:rsidRDefault="00A55F21" w:rsidP="00EA7899">
                                  <w:r>
                                    <w:t>18</w:t>
                                  </w:r>
                                  <w:r w:rsidRPr="00A55F2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April 2018</w:t>
                                  </w:r>
                                </w:p>
                                <w:p w:rsidR="00EA7899" w:rsidRDefault="00EA7899" w:rsidP="00EA7899"/>
                                <w:p w:rsidR="00EA7899" w:rsidRPr="00015760" w:rsidRDefault="00EA7899" w:rsidP="00EA789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8.15pt;margin-top:-58.6pt;width:186.95pt;height:31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vDDAIAAPQDAAAOAAAAZHJzL2Uyb0RvYy54bWysU9uO2yAQfa/Uf0C8N3YcZy9WyGq7260q&#10;bS/Sbj+AYByjAkOBxE6/vgPOZqP2rSoPCJiZM3PODKub0Wiylz4osIzOZyUl0gpold0y+v354d0V&#10;JSFy23INVjJ6kIHerN++WQ2ukRX0oFvpCYLY0AyO0T5G1xRFEL00PMzASYvGDrzhEa9+W7SeD4hu&#10;dFGV5UUxgG+dByFDwNf7yUjXGb/rpIhfuy7ISDSjWFvMu8/7Ju3FesWbreeuV+JYBv+HKgxXFpOe&#10;oO555GTn1V9QRgkPAbo4E2AK6DolZOaAbOblH2yeeu5k5oLiBHeSKfw/WPFl/80T1TK6KC8psdxg&#10;k57lGMl7GEmV9BlcaNDtyaFjHPEZ+5y5BvcI4kcgFu56brfy1nsYeslbrG+eIouz0AknJJDN8Bla&#10;TMN3ETLQ2HmTxEM5CKJjnw6n3qRSBD5Wi8u6ulhSItBWl4uqrnMK3rxEOx/iRwmGpAOjHnuf0fn+&#10;McRUDW9eXFIyCw9K69x/bcnA6PWyWuaAM4tREcdTK8PoVZnWNDCJ5Afb5uDIlZ7OmEDbI+tEdKIc&#10;x82IjkmKDbQH5O9hGkP8Nnjowf+iZMARZDT83HEvKdGfLGp4Pa/rNLP5Ui8vK7z4c8vm3MKtQChG&#10;IyXT8S7mOZ+43qLWncoyvFZyrBVHK6tz/AZpds/v2ev1s65/AwAA//8DAFBLAwQUAAYACAAAACEA&#10;8bTGCOEAAAAMAQAADwAAAGRycy9kb3ducmV2LnhtbEyPy07DMBBF90j8gzVI7FonKYkhxKkQKgsk&#10;FqWUvetMHhDbUeykga9nWMFuHkd3zhTbxfRsxtF3zkqI1xEwtNpVnW0kHN+eVrfAfFC2Ur2zKOEL&#10;PWzLy4tC5ZU721ecD6FhFGJ9riS0IQw55163aJRfuwEt7Wo3GhWoHRtejepM4abnSRRl3KjO0oVW&#10;DfjYov48TEZC/fwuzMtNvTvupvT7Y071sm+0lNdXy8M9sIBL+IPhV5/UoSSnk5ts5VkvYSWyDaFU&#10;xLFIgBGS3IkM2IlG6UYALwv+/4nyBwAA//8DAFBLAQItABQABgAIAAAAIQC2gziS/gAAAOEBAAAT&#10;AAAAAAAAAAAAAAAAAAAAAABbQ29udGVudF9UeXBlc10ueG1sUEsBAi0AFAAGAAgAAAAhADj9If/W&#10;AAAAlAEAAAsAAAAAAAAAAAAAAAAALwEAAF9yZWxzLy5yZWxzUEsBAi0AFAAGAAgAAAAhACi268MM&#10;AgAA9AMAAA4AAAAAAAAAAAAAAAAALgIAAGRycy9lMm9Eb2MueG1sUEsBAi0AFAAGAAgAAAAhAPG0&#10;xgjhAAAADAEAAA8AAAAAAAAAAAAAAAAAZgQAAGRycy9kb3ducmV2LnhtbFBLBQYAAAAABAAEAPMA&#10;AAB0BQAAAAA=&#10;" filled="f" stroked="f">
                      <v:textbox>
                        <w:txbxContent>
                          <w:p w:rsidR="00EA7899" w:rsidRDefault="00A55F21" w:rsidP="00EA7899">
                            <w:r>
                              <w:t>18</w:t>
                            </w:r>
                            <w:r w:rsidRPr="00A55F2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2018</w:t>
                            </w:r>
                          </w:p>
                          <w:p w:rsidR="00EA7899" w:rsidRDefault="00EA7899" w:rsidP="00EA7899"/>
                          <w:p w:rsidR="00EA7899" w:rsidRPr="00015760" w:rsidRDefault="00EA7899" w:rsidP="00EA789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E7B">
              <w:t>GP Practice</w:t>
            </w:r>
          </w:p>
          <w:p w:rsidR="00EA7899" w:rsidRDefault="00EA7899" w:rsidP="00430541">
            <w:r>
              <w:t>Address 1</w:t>
            </w:r>
          </w:p>
          <w:p w:rsidR="00EA7899" w:rsidRDefault="00EA7899" w:rsidP="00430541">
            <w:r>
              <w:t>Address 2</w:t>
            </w:r>
          </w:p>
          <w:p w:rsidR="00EA7899" w:rsidRDefault="00EA7899" w:rsidP="00430541">
            <w:r>
              <w:t>Town</w:t>
            </w:r>
          </w:p>
          <w:p w:rsidR="00EA7899" w:rsidRDefault="00EA7899" w:rsidP="00430541">
            <w:r>
              <w:t>County</w:t>
            </w:r>
          </w:p>
          <w:p w:rsidR="00EA7899" w:rsidRDefault="00EA7899" w:rsidP="00430541">
            <w:r>
              <w:t>Postcode</w:t>
            </w:r>
          </w:p>
          <w:p w:rsidR="00EA7899" w:rsidRDefault="00EA7899" w:rsidP="00430541"/>
          <w:p w:rsidR="00EA7899" w:rsidRDefault="00EA7899" w:rsidP="00430541"/>
          <w:p w:rsidR="00EA7899" w:rsidRDefault="00EA7899" w:rsidP="00430541"/>
          <w:p w:rsidR="00EA7899" w:rsidRDefault="00EA7899" w:rsidP="00430541"/>
        </w:tc>
        <w:tc>
          <w:tcPr>
            <w:tcW w:w="330" w:type="dxa"/>
          </w:tcPr>
          <w:p w:rsidR="00EA7899" w:rsidRDefault="00EA7899" w:rsidP="00430541"/>
        </w:tc>
        <w:tc>
          <w:tcPr>
            <w:tcW w:w="4899" w:type="dxa"/>
          </w:tcPr>
          <w:p w:rsidR="00EA7899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Simon Whitfield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Chief Pharmacist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Leatherhead Hub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18 Mole Business Park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Leatherhead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Surrey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KT22 7AD</w:t>
            </w:r>
          </w:p>
          <w:p w:rsidR="00A55F21" w:rsidRPr="00A55F21" w:rsidRDefault="00A55F21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5F21">
              <w:rPr>
                <w:rFonts w:ascii="Arial" w:hAnsi="Arial" w:cs="Arial"/>
                <w:bCs/>
                <w:sz w:val="20"/>
                <w:szCs w:val="20"/>
              </w:rPr>
              <w:t>Tel. 07825 053517</w:t>
            </w:r>
          </w:p>
          <w:p w:rsidR="00EA7899" w:rsidRPr="00A55F21" w:rsidRDefault="00EA7899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7899" w:rsidRPr="00A55F21" w:rsidRDefault="00EA7899" w:rsidP="0043054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5F21" w:rsidRPr="00C5345F" w:rsidTr="00367693">
        <w:trPr>
          <w:trHeight w:hRule="exact" w:val="682"/>
        </w:trPr>
        <w:tc>
          <w:tcPr>
            <w:tcW w:w="4403" w:type="dxa"/>
          </w:tcPr>
          <w:p w:rsidR="00A55F21" w:rsidRDefault="00A55F21" w:rsidP="00430541">
            <w:pPr>
              <w:rPr>
                <w:noProof/>
                <w:lang w:eastAsia="en-GB"/>
              </w:rPr>
            </w:pPr>
          </w:p>
        </w:tc>
        <w:tc>
          <w:tcPr>
            <w:tcW w:w="330" w:type="dxa"/>
          </w:tcPr>
          <w:p w:rsidR="00A55F21" w:rsidRDefault="00A55F21" w:rsidP="00430541"/>
        </w:tc>
        <w:tc>
          <w:tcPr>
            <w:tcW w:w="4899" w:type="dxa"/>
          </w:tcPr>
          <w:p w:rsidR="00A55F21" w:rsidRDefault="00A55F21" w:rsidP="004305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7261" w:rsidRPr="00022E7B" w:rsidRDefault="00857254">
      <w:r w:rsidRPr="00022E7B">
        <w:t xml:space="preserve">Dear </w:t>
      </w:r>
      <w:r w:rsidR="00A55F21" w:rsidRPr="00022E7B">
        <w:t>Colleague</w:t>
      </w:r>
    </w:p>
    <w:p w:rsidR="00767530" w:rsidRPr="00022E7B" w:rsidRDefault="00767530"/>
    <w:p w:rsidR="00767530" w:rsidRPr="00022E7B" w:rsidRDefault="00767530" w:rsidP="00767530">
      <w:pPr>
        <w:jc w:val="both"/>
      </w:pPr>
      <w:r w:rsidRPr="00022E7B">
        <w:t xml:space="preserve">Quetiapine immediate release (IR) tablets and modified release (MR) tablets are both available as generic medicines. </w:t>
      </w:r>
    </w:p>
    <w:p w:rsidR="00767530" w:rsidRPr="00022E7B" w:rsidRDefault="00767530" w:rsidP="00767530">
      <w:pPr>
        <w:jc w:val="both"/>
      </w:pPr>
    </w:p>
    <w:p w:rsidR="00767530" w:rsidRPr="00022E7B" w:rsidRDefault="00767530" w:rsidP="00767530">
      <w:pPr>
        <w:jc w:val="both"/>
      </w:pPr>
      <w:r w:rsidRPr="00022E7B">
        <w:t>However, the modified release version still costs the same as the original Seroquel XL version and is likely to continue at this price for some time.</w:t>
      </w:r>
    </w:p>
    <w:p w:rsidR="00767530" w:rsidRPr="00022E7B" w:rsidRDefault="00767530" w:rsidP="00767530"/>
    <w:p w:rsidR="00767530" w:rsidRPr="00022E7B" w:rsidRDefault="00767530" w:rsidP="00767530">
      <w:pPr>
        <w:jc w:val="both"/>
      </w:pPr>
      <w:r w:rsidRPr="00022E7B">
        <w:t xml:space="preserve">To maximise the savings offered from generic versions of quetiapine </w:t>
      </w:r>
      <w:r w:rsidR="00022E7B">
        <w:t xml:space="preserve">IR </w:t>
      </w:r>
      <w:r w:rsidRPr="00022E7B">
        <w:t xml:space="preserve">we have issued the attached guidance to our clinicians </w:t>
      </w:r>
      <w:r w:rsidR="00022E7B" w:rsidRPr="00022E7B">
        <w:t>within</w:t>
      </w:r>
      <w:r w:rsidRPr="00022E7B">
        <w:t xml:space="preserve"> </w:t>
      </w:r>
      <w:proofErr w:type="spellStart"/>
      <w:r w:rsidRPr="00022E7B">
        <w:t>SaBP</w:t>
      </w:r>
      <w:proofErr w:type="spellEnd"/>
      <w:r w:rsidR="00022E7B">
        <w:t>.</w:t>
      </w:r>
    </w:p>
    <w:p w:rsidR="00767530" w:rsidRPr="00022E7B" w:rsidRDefault="00767530" w:rsidP="00767530">
      <w:pPr>
        <w:jc w:val="both"/>
      </w:pPr>
    </w:p>
    <w:p w:rsidR="0096637D" w:rsidRDefault="008D59B1" w:rsidP="00767530">
      <w:pPr>
        <w:jc w:val="both"/>
      </w:pPr>
      <w:r>
        <w:t xml:space="preserve">The guidance indicates that </w:t>
      </w:r>
      <w:r w:rsidR="0096637D" w:rsidRPr="00022E7B">
        <w:t>quetiapine</w:t>
      </w:r>
      <w:r w:rsidR="00767530" w:rsidRPr="00022E7B">
        <w:t xml:space="preserve"> XL should primar</w:t>
      </w:r>
      <w:r w:rsidR="006C0E54">
        <w:t>il</w:t>
      </w:r>
      <w:r w:rsidR="00767530" w:rsidRPr="00022E7B">
        <w:t xml:space="preserve">y be limited to the </w:t>
      </w:r>
      <w:r w:rsidR="0045181E">
        <w:t xml:space="preserve">acute care </w:t>
      </w:r>
      <w:r w:rsidR="00767530" w:rsidRPr="00022E7B">
        <w:t>inpatient setting and that patients in the community</w:t>
      </w:r>
      <w:r w:rsidR="00022E7B">
        <w:t xml:space="preserve"> </w:t>
      </w:r>
      <w:r w:rsidR="00767530" w:rsidRPr="00022E7B">
        <w:t>on quetiapine XL could be safely switch</w:t>
      </w:r>
      <w:r w:rsidR="0096637D" w:rsidRPr="00022E7B">
        <w:t>ed</w:t>
      </w:r>
      <w:r w:rsidR="00767530" w:rsidRPr="00022E7B">
        <w:t xml:space="preserve"> to the IR </w:t>
      </w:r>
      <w:r w:rsidR="00022E7B" w:rsidRPr="00022E7B">
        <w:t>preparation</w:t>
      </w:r>
      <w:r w:rsidR="0096637D" w:rsidRPr="00022E7B">
        <w:t xml:space="preserve">, unless there was </w:t>
      </w:r>
      <w:r>
        <w:t>a specific recommendation by a secondary care</w:t>
      </w:r>
      <w:r w:rsidR="0096637D" w:rsidRPr="00022E7B">
        <w:t xml:space="preserve"> consultant to remain on the XL </w:t>
      </w:r>
      <w:r w:rsidR="0045181E">
        <w:t>prepara</w:t>
      </w:r>
      <w:r w:rsidR="0045181E" w:rsidRPr="00022E7B">
        <w:t>tion</w:t>
      </w:r>
      <w:r w:rsidR="00022E7B" w:rsidRPr="00022E7B">
        <w:t>.</w:t>
      </w:r>
    </w:p>
    <w:p w:rsidR="008D59B1" w:rsidRPr="00253A8A" w:rsidRDefault="008D59B1" w:rsidP="008D59B1">
      <w:pPr>
        <w:jc w:val="both"/>
      </w:pPr>
    </w:p>
    <w:p w:rsidR="008D59B1" w:rsidRPr="00253A8A" w:rsidRDefault="00253A8A" w:rsidP="008D59B1">
      <w:pPr>
        <w:jc w:val="both"/>
      </w:pPr>
      <w:r w:rsidRPr="00253A8A">
        <w:t xml:space="preserve">Although the IR preparation is licensed as a twice daily dose in psychosis, </w:t>
      </w:r>
      <w:r w:rsidR="008D59B1" w:rsidRPr="00253A8A">
        <w:t xml:space="preserve">IR quetiapine is licensed for once daily dosing for the treatment of depression in bipolar disorder </w:t>
      </w:r>
      <w:r w:rsidRPr="00253A8A">
        <w:t>up</w:t>
      </w:r>
      <w:r w:rsidR="0045181E">
        <w:t xml:space="preserve"> </w:t>
      </w:r>
      <w:r w:rsidRPr="00253A8A">
        <w:t xml:space="preserve">to 600mg daily. </w:t>
      </w:r>
      <w:r w:rsidR="0045181E" w:rsidRPr="00253A8A">
        <w:t>Therefore</w:t>
      </w:r>
      <w:r w:rsidR="008D59B1" w:rsidRPr="00253A8A">
        <w:t xml:space="preserve"> it is not unreasonable to use IR once daily for other indications, which was common clinical practice prior to the availability of the XL formulation. </w:t>
      </w:r>
    </w:p>
    <w:p w:rsidR="00767530" w:rsidRPr="00022E7B" w:rsidRDefault="00767530" w:rsidP="00767530">
      <w:pPr>
        <w:jc w:val="both"/>
      </w:pPr>
    </w:p>
    <w:p w:rsidR="00767530" w:rsidRDefault="00767530" w:rsidP="00767530">
      <w:pPr>
        <w:jc w:val="both"/>
      </w:pPr>
      <w:r w:rsidRPr="00022E7B">
        <w:t xml:space="preserve">The </w:t>
      </w:r>
      <w:r w:rsidR="0096637D" w:rsidRPr="00022E7B">
        <w:t xml:space="preserve">clinical </w:t>
      </w:r>
      <w:r w:rsidR="00022E7B" w:rsidRPr="00022E7B">
        <w:t>experience</w:t>
      </w:r>
      <w:r w:rsidR="00253A8A">
        <w:t xml:space="preserve"> of the prescribing </w:t>
      </w:r>
      <w:r w:rsidR="0096637D" w:rsidRPr="00022E7B">
        <w:t xml:space="preserve">committee members </w:t>
      </w:r>
      <w:r w:rsidR="00253A8A">
        <w:t>i</w:t>
      </w:r>
      <w:r w:rsidR="0096637D" w:rsidRPr="00022E7B">
        <w:t xml:space="preserve">s </w:t>
      </w:r>
      <w:r w:rsidRPr="00022E7B">
        <w:t>that</w:t>
      </w:r>
      <w:r w:rsidR="00253A8A">
        <w:t xml:space="preserve"> quetiapine XL can</w:t>
      </w:r>
      <w:r w:rsidRPr="00022E7B">
        <w:t xml:space="preserve"> be safely transitioned to IR at the same dose and frequency</w:t>
      </w:r>
      <w:r w:rsidR="00022E7B" w:rsidRPr="00022E7B">
        <w:t xml:space="preserve"> for patients in the community</w:t>
      </w:r>
      <w:r w:rsidR="008D59B1">
        <w:t>, and many had been doing this for a number of years</w:t>
      </w:r>
      <w:r w:rsidRPr="00022E7B">
        <w:t>.</w:t>
      </w:r>
    </w:p>
    <w:p w:rsidR="008D59B1" w:rsidRDefault="008D59B1" w:rsidP="00767530">
      <w:pPr>
        <w:jc w:val="both"/>
      </w:pPr>
    </w:p>
    <w:p w:rsidR="008D59B1" w:rsidRDefault="00253A8A" w:rsidP="00767530">
      <w:pPr>
        <w:jc w:val="both"/>
      </w:pPr>
      <w:r>
        <w:t xml:space="preserve">Primary care prescribers </w:t>
      </w:r>
      <w:r w:rsidR="00A42645">
        <w:t>are encouraged to review their patients on q</w:t>
      </w:r>
      <w:r w:rsidR="008D59B1">
        <w:t xml:space="preserve">uetiapine XL and consider switching to the IR </w:t>
      </w:r>
      <w:r>
        <w:t>preparation either as a once or twice daily regimen</w:t>
      </w:r>
      <w:r w:rsidR="008D59B1">
        <w:t xml:space="preserve">. </w:t>
      </w:r>
    </w:p>
    <w:p w:rsidR="008D59B1" w:rsidRDefault="008D59B1" w:rsidP="00767530">
      <w:pPr>
        <w:jc w:val="both"/>
      </w:pPr>
    </w:p>
    <w:p w:rsidR="008D59B1" w:rsidRDefault="00253A8A" w:rsidP="00767530">
      <w:pPr>
        <w:jc w:val="both"/>
      </w:pPr>
      <w:r>
        <w:t xml:space="preserve">Primary care prescribers </w:t>
      </w:r>
      <w:r w:rsidR="008D59B1">
        <w:t>can contact their local mental heal</w:t>
      </w:r>
      <w:r w:rsidR="00A42645">
        <w:t>th community team if they require</w:t>
      </w:r>
      <w:r w:rsidR="008D59B1">
        <w:t xml:space="preserve"> further information and support to transition to the IR </w:t>
      </w:r>
      <w:r>
        <w:t>preparation</w:t>
      </w:r>
      <w:r w:rsidR="008D59B1">
        <w:t>.</w:t>
      </w:r>
    </w:p>
    <w:p w:rsidR="008D59B1" w:rsidRDefault="008D59B1" w:rsidP="00767530">
      <w:pPr>
        <w:jc w:val="both"/>
      </w:pPr>
    </w:p>
    <w:p w:rsidR="008D59B1" w:rsidRDefault="008D59B1" w:rsidP="00767530">
      <w:pPr>
        <w:jc w:val="both"/>
      </w:pPr>
      <w:r>
        <w:t>I hope this information is useful to you.</w:t>
      </w:r>
    </w:p>
    <w:p w:rsidR="00A42645" w:rsidRPr="00022E7B" w:rsidRDefault="00A42645" w:rsidP="00767530">
      <w:pPr>
        <w:jc w:val="both"/>
      </w:pPr>
    </w:p>
    <w:p w:rsidR="00767530" w:rsidRDefault="00767530" w:rsidP="00767530">
      <w:pPr>
        <w:ind w:left="360"/>
      </w:pPr>
    </w:p>
    <w:p w:rsidR="00857254" w:rsidRDefault="00A55F21">
      <w:r>
        <w:t>Simon Whitfield</w:t>
      </w:r>
    </w:p>
    <w:p w:rsidR="00857254" w:rsidRDefault="00A55F21">
      <w:r>
        <w:t>Chief Pharmacist</w:t>
      </w:r>
      <w:bookmarkStart w:id="0" w:name="_GoBack"/>
      <w:bookmarkEnd w:id="0"/>
    </w:p>
    <w:sectPr w:rsidR="00857254" w:rsidSect="00C5345F">
      <w:headerReference w:type="first" r:id="rId8"/>
      <w:footerReference w:type="first" r:id="rId9"/>
      <w:pgSz w:w="11900" w:h="16840"/>
      <w:pgMar w:top="1247" w:right="624" w:bottom="144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2A" w:rsidRDefault="009B372A" w:rsidP="008B56CF">
      <w:r>
        <w:separator/>
      </w:r>
    </w:p>
  </w:endnote>
  <w:endnote w:type="continuationSeparator" w:id="0">
    <w:p w:rsidR="009B372A" w:rsidRDefault="009B372A" w:rsidP="008B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D2" w:rsidRDefault="00AC35D2" w:rsidP="00382617">
    <w:pPr>
      <w:pStyle w:val="Footer"/>
      <w:ind w:left="-851"/>
    </w:pPr>
    <w:r>
      <w:rPr>
        <w:noProof/>
        <w:lang w:eastAsia="en-GB"/>
      </w:rPr>
      <w:drawing>
        <wp:inline distT="0" distB="0" distL="0" distR="0" wp14:anchorId="3452E8FA" wp14:editId="6BC095A9">
          <wp:extent cx="4031742" cy="644652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dress12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742" cy="644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2A" w:rsidRDefault="009B372A" w:rsidP="008B56CF">
      <w:r>
        <w:separator/>
      </w:r>
    </w:p>
  </w:footnote>
  <w:footnote w:type="continuationSeparator" w:id="0">
    <w:p w:rsidR="009B372A" w:rsidRDefault="009B372A" w:rsidP="008B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4C" w:rsidRDefault="00F131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BB2DF4" wp14:editId="78DEA3EF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1871330" cy="143749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HDS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03" cy="1437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314C" w:rsidRDefault="00F1314C">
    <w:pPr>
      <w:pStyle w:val="Header"/>
    </w:pPr>
  </w:p>
  <w:p w:rsidR="00F1314C" w:rsidRDefault="00F1314C">
    <w:pPr>
      <w:pStyle w:val="Header"/>
    </w:pPr>
  </w:p>
  <w:p w:rsidR="00F1314C" w:rsidRDefault="00F1314C">
    <w:pPr>
      <w:pStyle w:val="Header"/>
    </w:pPr>
  </w:p>
  <w:p w:rsidR="00F1314C" w:rsidRDefault="00F1314C">
    <w:pPr>
      <w:pStyle w:val="Header"/>
    </w:pPr>
  </w:p>
  <w:p w:rsidR="00857254" w:rsidRDefault="004C201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FC504" wp14:editId="05560C03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97640" cy="0"/>
              <wp:effectExtent l="0" t="0" r="31115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7640" cy="0"/>
                      </a:xfrm>
                      <a:prstGeom prst="line">
                        <a:avLst/>
                      </a:prstGeom>
                      <a:ln>
                        <a:solidFill>
                          <a:srgbClr val="00B3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xK2AEAAA0EAAAOAAAAZHJzL2Uyb0RvYy54bWysU8GO0zAQvSPxD5bvNOmCFoiarkSrhQOC&#10;ahc+wHXsxJLtscamSf+esdOGFSAhEBfLY897M++NvbmbnGUnhdGAb/l6VXOmvITO+L7lX7/cv3jD&#10;WUzCd8KCVy0/q8jvts+fbcbQqBsYwHYKGZH42Iyh5UNKoamqKAflRFxBUJ4uNaATiULsqw7FSOzO&#10;Vjd1fVuNgF1AkCpGOt3Pl3xb+LVWMn3WOqrEbMupt1RWLOsxr9V2I5oeRRiMvLQh/qELJ4ynogvV&#10;XiTBvqH5hcoZiRBBp5UEV4HWRqqigdSs65/UPA4iqKKFzIlhsSn+P1r56XRAZjqaHWdeOBrRY0Jh&#10;+iGxHXhPBgKydfZpDLGh9J0/4CWK4YBZ9KTRMW1N+JBp8gkJY1Nx+by4rKbEJB2u376+fUWzkNer&#10;ambIuIAxvVfgWN603Bqf9YtGnD7GRFUp9ZqSj63PawRruntjbQmwP+4sspPIE6/fvdzvcvMEfJJG&#10;UYZWWdIsouzS2aqZ9kFpMiU3W8qX56gWWiGl8qmYUpgoO8M0tbAA6z8DL/kZqspT/RvwgiiVwacF&#10;7IwH/F31NF1b1nP+1YFZd7bgCN25jLdYQ2+uOHf5H/lRP40L/Mcv3n4HAAD//wMAUEsDBBQABgAI&#10;AAAAIQASTcCZ2gAAAAcBAAAPAAAAZHJzL2Rvd25yZXYueG1sTI/BTsMwDIbvSLxDZCRuLA0TA3VN&#10;JzTEThygwM5eY5pqjVOarC1vT5CQ4Gj/vz5/Ljaz68RIQ2g9a1CLDARx7U3LjYa318erOxAhIhvs&#10;PJOGLwqwKc/PCsyNn/iFxio2IkE45KjBxtjnUobaksOw8D1xyj784DCmcWikGXBKcNfJ6yxbSYct&#10;pwsWe9paqo/VySXKnqrp+WmbHXd4Oz58unc77ZTWlxfz/RpEpDn+leFHP6lDmZwO/sQmiE5DeiRq&#10;uFmpJYgUL5UCcfhdyLKQ//3LbwAAAP//AwBQSwECLQAUAAYACAAAACEAtoM4kv4AAADhAQAAEwAA&#10;AAAAAAAAAAAAAAAAAAAAW0NvbnRlbnRfVHlwZXNdLnhtbFBLAQItABQABgAIAAAAIQA4/SH/1gAA&#10;AJQBAAALAAAAAAAAAAAAAAAAAC8BAABfcmVscy8ucmVsc1BLAQItABQABgAIAAAAIQCusdxK2AEA&#10;AA0EAAAOAAAAAAAAAAAAAAAAAC4CAABkcnMvZTJvRG9jLnhtbFBLAQItABQABgAIAAAAIQASTcCZ&#10;2gAAAAcBAAAPAAAAAAAAAAAAAAAAADIEAABkcnMvZG93bnJldi54bWxQSwUGAAAAAAQABADzAAAA&#10;OQUAAAAA&#10;" strokecolor="#00b3dc" strokeweight=".5pt">
              <v:stroke joinstyle="miter"/>
              <w10:wrap anchorx="page" anchory="page"/>
            </v:line>
          </w:pict>
        </mc:Fallback>
      </mc:AlternateContent>
    </w:r>
    <w:r w:rsidR="00B54E2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179599" wp14:editId="10D2E581">
          <wp:simplePos x="0" y="0"/>
          <wp:positionH relativeFrom="page">
            <wp:posOffset>5600700</wp:posOffset>
          </wp:positionH>
          <wp:positionV relativeFrom="page">
            <wp:posOffset>400050</wp:posOffset>
          </wp:positionV>
          <wp:extent cx="1571625" cy="778510"/>
          <wp:effectExtent l="0" t="0" r="317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1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7254" w:rsidRDefault="00857254">
    <w:pPr>
      <w:pStyle w:val="Header"/>
    </w:pPr>
  </w:p>
  <w:p w:rsidR="008B56CF" w:rsidRDefault="008B5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4C2"/>
    <w:multiLevelType w:val="hybridMultilevel"/>
    <w:tmpl w:val="B6660D3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96346D"/>
    <w:multiLevelType w:val="hybridMultilevel"/>
    <w:tmpl w:val="A47A55C6"/>
    <w:lvl w:ilvl="0" w:tplc="E156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35159"/>
    <w:multiLevelType w:val="hybridMultilevel"/>
    <w:tmpl w:val="0940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6E"/>
    <w:rsid w:val="00022E7B"/>
    <w:rsid w:val="00057133"/>
    <w:rsid w:val="002103D8"/>
    <w:rsid w:val="00253A8A"/>
    <w:rsid w:val="00261038"/>
    <w:rsid w:val="002B4823"/>
    <w:rsid w:val="002E31F4"/>
    <w:rsid w:val="00367693"/>
    <w:rsid w:val="00382617"/>
    <w:rsid w:val="003918D7"/>
    <w:rsid w:val="00396CBA"/>
    <w:rsid w:val="003E6EF3"/>
    <w:rsid w:val="0045181E"/>
    <w:rsid w:val="004C2019"/>
    <w:rsid w:val="005800F3"/>
    <w:rsid w:val="006C0E54"/>
    <w:rsid w:val="00744ADE"/>
    <w:rsid w:val="00767530"/>
    <w:rsid w:val="00800FF4"/>
    <w:rsid w:val="00857254"/>
    <w:rsid w:val="008B56CF"/>
    <w:rsid w:val="008D59B1"/>
    <w:rsid w:val="0096637D"/>
    <w:rsid w:val="009B372A"/>
    <w:rsid w:val="00A336F6"/>
    <w:rsid w:val="00A338F0"/>
    <w:rsid w:val="00A42645"/>
    <w:rsid w:val="00A55F21"/>
    <w:rsid w:val="00AC35D2"/>
    <w:rsid w:val="00AE2414"/>
    <w:rsid w:val="00B54E2F"/>
    <w:rsid w:val="00B63D6E"/>
    <w:rsid w:val="00C5345F"/>
    <w:rsid w:val="00E1520D"/>
    <w:rsid w:val="00EA7899"/>
    <w:rsid w:val="00F1314C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6CF"/>
  </w:style>
  <w:style w:type="paragraph" w:styleId="Footer">
    <w:name w:val="footer"/>
    <w:basedOn w:val="Normal"/>
    <w:link w:val="FooterChar"/>
    <w:uiPriority w:val="99"/>
    <w:unhideWhenUsed/>
    <w:rsid w:val="008B5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CF"/>
  </w:style>
  <w:style w:type="table" w:styleId="TableGrid">
    <w:name w:val="Table Grid"/>
    <w:basedOn w:val="TableNormal"/>
    <w:uiPriority w:val="39"/>
    <w:rsid w:val="00C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899"/>
    <w:rPr>
      <w:color w:val="0563C1" w:themeColor="hyperlink"/>
      <w:u w:val="single"/>
    </w:rPr>
  </w:style>
  <w:style w:type="character" w:styleId="CommentReference">
    <w:name w:val="annotation reference"/>
    <w:rsid w:val="007675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530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53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6CF"/>
  </w:style>
  <w:style w:type="paragraph" w:styleId="Footer">
    <w:name w:val="footer"/>
    <w:basedOn w:val="Normal"/>
    <w:link w:val="FooterChar"/>
    <w:uiPriority w:val="99"/>
    <w:unhideWhenUsed/>
    <w:rsid w:val="008B5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CF"/>
  </w:style>
  <w:style w:type="table" w:styleId="TableGrid">
    <w:name w:val="Table Grid"/>
    <w:basedOn w:val="TableNormal"/>
    <w:uiPriority w:val="39"/>
    <w:rsid w:val="00C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899"/>
    <w:rPr>
      <w:color w:val="0563C1" w:themeColor="hyperlink"/>
      <w:u w:val="single"/>
    </w:rPr>
  </w:style>
  <w:style w:type="character" w:styleId="CommentReference">
    <w:name w:val="annotation reference"/>
    <w:rsid w:val="007675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530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53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%20whitfield\AppData\Local\Microsoft\Windows\Temporary%20Internet%20Files\Content.IE5\982HBS2D\LH_Corpor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LH_Corporate_FINAL.dotx</Template>
  <TotalTime>0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&amp; Borders Partnership Foundation NHS Trust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Whitfield</dc:creator>
  <cp:lastModifiedBy>Claridge Rachel (Surrey Downs CCG)</cp:lastModifiedBy>
  <cp:revision>2</cp:revision>
  <dcterms:created xsi:type="dcterms:W3CDTF">2018-05-25T08:25:00Z</dcterms:created>
  <dcterms:modified xsi:type="dcterms:W3CDTF">2018-05-25T08:25:00Z</dcterms:modified>
</cp:coreProperties>
</file>